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F65975" w:rsidP="00300454">
      <w:pPr>
        <w:jc w:val="center"/>
        <w:rPr>
          <w:rFonts w:ascii="Times New Roman" w:hAnsi="Times New Roman" w:cs="Times New Roman"/>
          <w:b/>
        </w:rPr>
      </w:pPr>
      <w:r>
        <w:rPr>
          <w:rFonts w:ascii="Times New Roman" w:hAnsi="Times New Roman" w:cs="Times New Roman"/>
          <w:b/>
        </w:rPr>
        <w:t>1</w:t>
      </w:r>
      <w:bookmarkStart w:id="0" w:name="_GoBack"/>
      <w:bookmarkEnd w:id="0"/>
      <w:r w:rsidR="00300454"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F569F0"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F569F0">
        <w:rPr>
          <w:rFonts w:ascii="Times New Roman" w:eastAsia="Times New Roman" w:hAnsi="Times New Roman" w:cs="Times New Roman"/>
          <w:b/>
          <w:lang w:eastAsia="hu-HU"/>
        </w:rPr>
        <w:t xml:space="preserve"> </w:t>
      </w:r>
      <w:r w:rsidR="00F569F0">
        <w:rPr>
          <w:rFonts w:ascii="Times New Roman" w:eastAsia="Times New Roman" w:hAnsi="Times New Roman" w:cs="Times New Roman"/>
          <w:lang w:eastAsia="hu-HU"/>
        </w:rPr>
        <w:t>Ábrahámhegy Község Önkormányzata</w:t>
      </w:r>
    </w:p>
    <w:p w:rsidR="00300454" w:rsidRPr="00F569F0"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F569F0">
        <w:rPr>
          <w:rFonts w:ascii="Times New Roman" w:eastAsia="Times New Roman" w:hAnsi="Times New Roman" w:cs="Times New Roman"/>
          <w:b/>
          <w:lang w:eastAsia="hu-HU"/>
        </w:rPr>
        <w:t xml:space="preserve"> </w:t>
      </w:r>
      <w:r w:rsidR="00F569F0">
        <w:rPr>
          <w:rFonts w:ascii="Times New Roman" w:eastAsia="Times New Roman" w:hAnsi="Times New Roman" w:cs="Times New Roman"/>
          <w:lang w:eastAsia="hu-HU"/>
        </w:rPr>
        <w:t>8256 Ábrahámhegy, Badacsonyi u. 13.</w:t>
      </w:r>
    </w:p>
    <w:p w:rsidR="00300454" w:rsidRPr="00F569F0"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F569F0">
        <w:rPr>
          <w:rFonts w:ascii="Times New Roman" w:eastAsia="Times New Roman" w:hAnsi="Times New Roman" w:cs="Times New Roman"/>
          <w:b/>
          <w:lang w:eastAsia="hu-HU"/>
        </w:rPr>
        <w:t xml:space="preserve"> </w:t>
      </w:r>
      <w:r w:rsidR="00F569F0">
        <w:rPr>
          <w:rFonts w:ascii="Times New Roman" w:eastAsia="Times New Roman" w:hAnsi="Times New Roman" w:cs="Times New Roman"/>
          <w:lang w:eastAsia="hu-HU"/>
        </w:rPr>
        <w:t>8256 Ábrahámhegy, Badacsonyi u. 13.</w:t>
      </w:r>
    </w:p>
    <w:p w:rsidR="00300454" w:rsidRPr="00F569F0"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F569F0">
        <w:rPr>
          <w:rFonts w:ascii="Times New Roman" w:eastAsia="Times New Roman" w:hAnsi="Times New Roman" w:cs="Times New Roman"/>
          <w:b/>
          <w:lang w:eastAsia="hu-HU"/>
        </w:rPr>
        <w:t xml:space="preserve"> </w:t>
      </w:r>
      <w:r w:rsidR="00F569F0">
        <w:rPr>
          <w:rFonts w:ascii="Times New Roman" w:eastAsia="Times New Roman" w:hAnsi="Times New Roman" w:cs="Times New Roman"/>
          <w:lang w:eastAsia="hu-HU"/>
        </w:rPr>
        <w:t>87/471-506</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F569F0">
        <w:rPr>
          <w:rFonts w:ascii="Times New Roman" w:eastAsia="Times New Roman" w:hAnsi="Times New Roman" w:cs="Times New Roman"/>
          <w:b/>
          <w:lang w:eastAsia="hu-HU"/>
        </w:rPr>
        <w:t xml:space="preserve">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EA3BD7">
        <w:rPr>
          <w:rFonts w:ascii="Times New Roman" w:eastAsia="Times New Roman" w:hAnsi="Times New Roman" w:cs="Times New Roman"/>
          <w:lang w:eastAsia="hu-HU"/>
        </w:rPr>
        <w:t xml:space="preserve"> Földi Laura </w:t>
      </w: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EA3BD7">
        <w:rPr>
          <w:rFonts w:ascii="Times New Roman" w:eastAsia="Times New Roman" w:hAnsi="Times New Roman" w:cs="Times New Roman"/>
          <w:lang w:eastAsia="hu-HU"/>
        </w:rPr>
        <w:t xml:space="preserve"> </w:t>
      </w:r>
      <w:r w:rsidR="00EA3BD7">
        <w:rPr>
          <w:rFonts w:ascii="Times New Roman" w:eastAsia="Times New Roman" w:hAnsi="Times New Roman" w:cs="Times New Roman"/>
          <w:lang w:eastAsia="hu-HU"/>
        </w:rPr>
        <w:tab/>
        <w:t>Badacsonytomaji Közös Önkormányzati Hivatal</w:t>
      </w:r>
    </w:p>
    <w:p w:rsidR="00EA3BD7" w:rsidRDefault="00EA3BD7"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t>8258 Badacsonytomaj, Fő u. 14.</w:t>
      </w:r>
    </w:p>
    <w:p w:rsidR="00EA3BD7" w:rsidRDefault="00EA3BD7"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t>87/571-270/107</w:t>
      </w:r>
    </w:p>
    <w:p w:rsidR="00EA3BD7" w:rsidRPr="00D432B8" w:rsidRDefault="00EA3BD7"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t>munkaugy@badacsonytomaj.hu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EA3BD7" w:rsidRDefault="00EA3BD7"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EA3BD7" w:rsidRDefault="00EA3BD7"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EA3BD7" w:rsidRDefault="00EA3BD7"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EA3BD7" w:rsidRDefault="00EA3BD7"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lastRenderedPageBreak/>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ehelyett kéri azok </w:t>
      </w:r>
      <w:r w:rsidRPr="00D432B8">
        <w:rPr>
          <w:rFonts w:ascii="Times New Roman" w:eastAsia="Times New Roman" w:hAnsi="Times New Roman" w:cs="Times New Roman"/>
          <w:lang w:eastAsia="hu-HU"/>
        </w:rPr>
        <w:lastRenderedPageBreak/>
        <w:t>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w:t>
      </w:r>
      <w:r w:rsidRPr="00D432B8">
        <w:rPr>
          <w:rFonts w:ascii="Times New Roman" w:eastAsia="Times New Roman" w:hAnsi="Times New Roman" w:cs="Times New Roman"/>
          <w:lang w:eastAsia="hu-HU"/>
        </w:rPr>
        <w:lastRenderedPageBreak/>
        <w:t xml:space="preserve">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54"/>
    <w:rsid w:val="00300454"/>
    <w:rsid w:val="004E4101"/>
    <w:rsid w:val="00B050DD"/>
    <w:rsid w:val="00EA3BD7"/>
    <w:rsid w:val="00F569F0"/>
    <w:rsid w:val="00F65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C2A9"/>
  <w15:docId w15:val="{45DFB42F-5916-4609-A013-C7AE9425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F659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6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1695</Words>
  <Characters>11700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Pénzügy</cp:lastModifiedBy>
  <cp:revision>7</cp:revision>
  <cp:lastPrinted>2018-08-22T12:45:00Z</cp:lastPrinted>
  <dcterms:created xsi:type="dcterms:W3CDTF">2018-08-08T06:41:00Z</dcterms:created>
  <dcterms:modified xsi:type="dcterms:W3CDTF">2018-08-22T12:52:00Z</dcterms:modified>
</cp:coreProperties>
</file>